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A21" w:rsidRPr="003C1A21" w:rsidRDefault="003C1A21" w:rsidP="003C1A21">
      <w:pPr>
        <w:spacing w:line="345" w:lineRule="atLeast"/>
        <w:outlineLvl w:val="0"/>
        <w:rPr>
          <w:rFonts w:ascii="Manrope" w:eastAsia="Times New Roman" w:hAnsi="Manrope" w:cs="Arial"/>
          <w:b/>
          <w:bCs/>
          <w:color w:val="181931"/>
          <w:kern w:val="36"/>
          <w:sz w:val="40"/>
          <w:szCs w:val="40"/>
          <w:lang w:eastAsia="ru-RU"/>
        </w:rPr>
      </w:pPr>
      <w:r w:rsidRPr="003C1A21">
        <w:rPr>
          <w:rFonts w:ascii="Manrope" w:eastAsia="Times New Roman" w:hAnsi="Manrope" w:cs="Arial"/>
          <w:b/>
          <w:bCs/>
          <w:color w:val="181931"/>
          <w:kern w:val="36"/>
          <w:sz w:val="40"/>
          <w:szCs w:val="40"/>
          <w:lang w:eastAsia="ru-RU"/>
        </w:rPr>
        <w:t>Муниципальный округ № 65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Контрольно-счетной палатой Санкт-Петербурга в ходе проведения контрольного мероприятия «Выборочная проверка формирования и исполнения бюджета Муниципального образования Муниципальный округ № 65 за 2019-2020 годы и истекший период 2021 года» установлено:</w:t>
      </w:r>
    </w:p>
    <w:p w:rsidR="003C1A21" w:rsidRPr="003C1A21" w:rsidRDefault="003C1A21" w:rsidP="003C1A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b/>
          <w:bCs/>
          <w:color w:val="000000"/>
          <w:sz w:val="20"/>
          <w:lang w:eastAsia="ru-RU"/>
        </w:rPr>
        <w:t>Нарушения бюджетного законодательства при исполнении местного бюджета </w:t>
      </w: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(20 нарушений на общую сумму 1 236,1 тыс. рублей), а именно: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1.1. Несоблюдение Местной Администрацией порядка составления и ведения сводной бюджетной росписи.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1.2. Неосуществление бюджетных полномочий главного распорядителя (распорядителя) бюджетных средств, а именно:</w:t>
      </w:r>
    </w:p>
    <w:p w:rsidR="003C1A21" w:rsidRPr="003C1A21" w:rsidRDefault="003C1A21" w:rsidP="003C1A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 xml:space="preserve">оплата участковыми избирательными комиссиями в рамках договоров возмездного оказания услуг </w:t>
      </w:r>
      <w:proofErr w:type="spellStart"/>
      <w:proofErr w:type="gramStart"/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услуг</w:t>
      </w:r>
      <w:proofErr w:type="spellEnd"/>
      <w:proofErr w:type="gramEnd"/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, оказанных в объемах и сроки, не соответствующие условиям договоров;</w:t>
      </w:r>
    </w:p>
    <w:p w:rsidR="003C1A21" w:rsidRPr="003C1A21" w:rsidRDefault="003C1A21" w:rsidP="003C1A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 xml:space="preserve">Местной Администрацией приняты и оплачены фактически </w:t>
      </w:r>
      <w:proofErr w:type="spellStart"/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неоказанные</w:t>
      </w:r>
      <w:proofErr w:type="spellEnd"/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 xml:space="preserve"> услуги по согласованию проектно-сметной документации на благоустройство территории ВМО.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1.3. Нарушение порядка применения бюджетной классификации Российской Федерации.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1.4. Иные нарушения при исполнении местного бюджета:</w:t>
      </w:r>
    </w:p>
    <w:p w:rsidR="003C1A21" w:rsidRPr="003C1A21" w:rsidRDefault="003C1A21" w:rsidP="003C1A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в 2019, 2020 годах депутатам Муниципального Совета выплата денежной компенсации производилась без предоставления документов, подтверждающих произведенные ими расходы, в связи с чем, произведенные выплаты не являлись выплатами компенсационного характера и, согласно требованиям главы 23 НК РФ, подлежали налогообложению;</w:t>
      </w:r>
    </w:p>
    <w:p w:rsidR="003C1A21" w:rsidRPr="003C1A21" w:rsidRDefault="003C1A21" w:rsidP="003C1A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несоблюдение Местной Администрацией норм действующего законодательства при назначении на должность муниципальной службы;</w:t>
      </w:r>
    </w:p>
    <w:p w:rsidR="003C1A21" w:rsidRPr="003C1A21" w:rsidRDefault="003C1A21" w:rsidP="003C1A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proofErr w:type="spellStart"/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необеспечение</w:t>
      </w:r>
      <w:proofErr w:type="spellEnd"/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 xml:space="preserve"> со стороны Местной Администрации доступа в виртуальный филиал Русского музея, что лишило возможности участия жителей ВМО в виртуальных занятиях;</w:t>
      </w:r>
    </w:p>
    <w:p w:rsidR="003C1A21" w:rsidRPr="003C1A21" w:rsidRDefault="003C1A21" w:rsidP="003C1A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формальный подход Местной Администрации к формированию списков участников мероприятий.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 </w:t>
      </w:r>
    </w:p>
    <w:p w:rsidR="003C1A21" w:rsidRPr="003C1A21" w:rsidRDefault="003C1A21" w:rsidP="003C1A2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b/>
          <w:bCs/>
          <w:color w:val="000000"/>
          <w:sz w:val="20"/>
          <w:lang w:eastAsia="ru-RU"/>
        </w:rPr>
        <w:t>Нарушения ведения бухгалтерского учета, составления и представления бухгалтерской (финансовой) отчетности</w:t>
      </w: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 (34 нарушения на сумму 29 123,5 тыс. рублей), а именно: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2.1. Нарушение руководителем Муниципального Совета, Местной Администрации, Избирательной комиссии требований организации ведения бухгалтерского учета, хранения документов бухгалтерского учета и требований по оформлению учетной политики.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2.2. Нарушения Муниципальным Советом, Местной Администрацией, Избирательной комиссией требований, предъявляемых к оформлению фактов хозяйственной жизни экономического субъекта первичными учетными документами.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2.3. Грубое нарушение Местной Администрацией правил ведения бухгалтерского учета, выразившееся в искажении любой статьи (строки) формы бухгалтерской отчетности более чем на 10 процентов или не менее чем на 1 процент, но не более чем на 10 процентов и на сумму, превышающую один миллион рублей.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 </w:t>
      </w:r>
    </w:p>
    <w:p w:rsidR="003C1A21" w:rsidRPr="003C1A21" w:rsidRDefault="003C1A21" w:rsidP="003C1A2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b/>
          <w:bCs/>
          <w:color w:val="000000"/>
          <w:sz w:val="20"/>
          <w:lang w:eastAsia="ru-RU"/>
        </w:rPr>
        <w:t>Нарушения в сфере управления и распоряжения муниципальной собственностью, а также находящейся в пользовании государственной собственностью </w:t>
      </w: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(2 нарушения), а именно:</w:t>
      </w:r>
    </w:p>
    <w:p w:rsidR="003C1A21" w:rsidRPr="003C1A21" w:rsidRDefault="003C1A21" w:rsidP="003C1A2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неправомерное предоставление Муниципальным Советом в пользование Избирательной комиссии и Местной Администрации частей помещения, полученного в безвозмездное пользование;</w:t>
      </w:r>
    </w:p>
    <w:p w:rsidR="003C1A21" w:rsidRPr="003C1A21" w:rsidRDefault="003C1A21" w:rsidP="003C1A2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lastRenderedPageBreak/>
        <w:t>Муниципальным Советом в помещении, полученном в безвозмездное пользование, без письменного разрешения произведены перепланировки.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 </w:t>
      </w:r>
    </w:p>
    <w:p w:rsidR="003C1A21" w:rsidRPr="003C1A21" w:rsidRDefault="003C1A21" w:rsidP="003C1A2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b/>
          <w:bCs/>
          <w:color w:val="000000"/>
          <w:sz w:val="20"/>
          <w:lang w:eastAsia="ru-RU"/>
        </w:rPr>
        <w:t>Нарушения при осуществлении муниципальных закупок</w:t>
      </w: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 (60 нарушений на общую сумму 7 457,3 тыс. рублей), а именно: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приемка и оплата Местной Администрацией поставленных товаров, выполненных работ, оказанных услуг, не соответствующих условиям контрактов;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нарушения Местной Администрацией при обосновании и определении начальной (максимальной) цены контракта (договора), цены контракта (договора), заключаемого с единственным поставщиком;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несоблюдение Муниципальным Советом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несоблюдение Местной Администрацией, Муниципальным Советом требований, в соответствии с которыми реестры закупок, осуществленных без заключения муниципальных контрактов (договоров), должны содержать следующие сведения: краткое наименование закупаемых товаров, работ и услуг; наименование и местонахождение поставщиков, подрядчиков и исполнителей услуг; цена и дата закупки;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нарушение Избирательной комиссией порядка формирования, утверждения и ведения плана закупок, порядка его размещения в открытом доступе;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нарушение Избирательной комиссией порядка формирования, утверждения и ведения плана-графика, порядка его размещения в открытом доступе;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нарушения Местной Администрацией при формировании порядка оценки заявок и критериев этой оценки;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нарушения Муниципальным Советом, Местной Администрацией, Избирательной комиссией порядка формирования контрактной службы (назначения контрактных управляющих);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включение Муниципальным Советом, Местной Администрацией в документации (извещения) о закупках требований к объекту закупки, приводящих к ограничению конкуренции;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непредставление, несвоевременное представление Местной Администрацией информации (сведений) и (или) документов, подлежащих включению в реестр контрактов, заключенных заказчиками;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нарушение Избирательной комиссией при нормировании в сфере закупок;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нарушение Муниципальным Советом порядка организации централизованных закупок;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внесение Муниципальным Советом изменений в контракт (договор) с нарушением требований, установленных законодательством;</w:t>
      </w:r>
    </w:p>
    <w:p w:rsidR="003C1A21" w:rsidRPr="003C1A21" w:rsidRDefault="003C1A21" w:rsidP="003C1A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отсутствие в Избирательной комиссии правовых актов, регулирующих отношения, направленные на обеспечение муниципальных нужд.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 </w:t>
      </w:r>
    </w:p>
    <w:p w:rsidR="003C1A21" w:rsidRPr="003C1A21" w:rsidRDefault="003C1A21" w:rsidP="003C1A2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b/>
          <w:bCs/>
          <w:color w:val="000000"/>
          <w:sz w:val="20"/>
          <w:lang w:eastAsia="ru-RU"/>
        </w:rPr>
        <w:t>Нецелевое использование средств бюджета </w:t>
      </w: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(24 нарушения на общую сумму 6 379,9 тыс. рублей).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proofErr w:type="gramStart"/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Нецелевое использование средств местного,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средств, а именно:</w:t>
      </w:r>
      <w:proofErr w:type="gramEnd"/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5.1. В нарушение ст. 15 БК РФ Местной Администрацией осуществлены расходы на исполнение расходных обязательств, не связанных с решением вопросов местного значения, что в соответствии со ст. 306.4 БК РФ квалифицируется как нецелевое использование бюджетных средств, а именно, расходы на оплату:</w:t>
      </w:r>
    </w:p>
    <w:p w:rsidR="003C1A21" w:rsidRPr="003C1A21" w:rsidRDefault="003C1A21" w:rsidP="003C1A2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работ по ремонту газона и посадке деревьев и кустарников на территории, содержание которой не относится к полномочиям органов местного самоуправления;</w:t>
      </w:r>
    </w:p>
    <w:p w:rsidR="003C1A21" w:rsidRPr="003C1A21" w:rsidRDefault="003C1A21" w:rsidP="003C1A2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работ по завозу земли растительной (грунта) для жителей ВМО в целях «облагораживания территории </w:t>
      </w:r>
      <w:r w:rsidRPr="003C1A21">
        <w:rPr>
          <w:rFonts w:ascii="Manrope" w:eastAsia="Times New Roman" w:hAnsi="Manrope" w:cs="Times New Roman"/>
          <w:i/>
          <w:iCs/>
          <w:color w:val="000000"/>
          <w:sz w:val="20"/>
          <w:lang w:eastAsia="ru-RU"/>
        </w:rPr>
        <w:t>у многоквартирных домов</w:t>
      </w: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», тогда как к вопросам местного значения на момент выполнения работ относилось осуществление благоустройства территории муниципального образования, включающее </w:t>
      </w:r>
      <w:r w:rsidRPr="003C1A21">
        <w:rPr>
          <w:rFonts w:ascii="Manrope" w:eastAsia="Times New Roman" w:hAnsi="Manrope" w:cs="Times New Roman"/>
          <w:i/>
          <w:iCs/>
          <w:color w:val="000000"/>
          <w:sz w:val="20"/>
          <w:lang w:eastAsia="ru-RU"/>
        </w:rPr>
        <w:t>озеленение территорий зеленых насаждений общего пользования местного значения</w:t>
      </w: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;</w:t>
      </w:r>
    </w:p>
    <w:p w:rsidR="003C1A21" w:rsidRPr="003C1A21" w:rsidRDefault="003C1A21" w:rsidP="003C1A2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proofErr w:type="gramStart"/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работ по благоустройству территории ВМО (например, устройство тротуара, ремонт набивного покрытия), которые не относятся к работам по текущему ремонту, тогда как к вопросам местного значения на момент производства и оплаты работ относилось осуществление благоустройства территории муниципального образования, включающее </w:t>
      </w:r>
      <w:r w:rsidRPr="003C1A21">
        <w:rPr>
          <w:rFonts w:ascii="Manrope" w:eastAsia="Times New Roman" w:hAnsi="Manrope" w:cs="Times New Roman"/>
          <w:i/>
          <w:iCs/>
          <w:color w:val="000000"/>
          <w:sz w:val="20"/>
          <w:lang w:eastAsia="ru-RU"/>
        </w:rPr>
        <w:t>текущий ремонт</w:t>
      </w: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 придомовых территорий и дворовых территорий, включая проезды и въезды, пешеходные дорожки;</w:t>
      </w:r>
      <w:proofErr w:type="gramEnd"/>
    </w:p>
    <w:p w:rsidR="003C1A21" w:rsidRPr="003C1A21" w:rsidRDefault="003C1A21" w:rsidP="003C1A2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lastRenderedPageBreak/>
        <w:t>работ по ремонту контейнерной площадки, которая в составе объектов имущества муниципальной казны отсутствует;</w:t>
      </w:r>
    </w:p>
    <w:p w:rsidR="003C1A21" w:rsidRPr="003C1A21" w:rsidRDefault="003C1A21" w:rsidP="003C1A2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работ по установке парковочных столбиков на территориях, содержание которых не относится к полномочиям органов местного самоуправления;</w:t>
      </w:r>
    </w:p>
    <w:p w:rsidR="003C1A21" w:rsidRPr="003C1A21" w:rsidRDefault="003C1A21" w:rsidP="003C1A2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услуг по организации и проведению мероприятий для воспитанников, посещающих городской оздоровительный лагерь с дневным пребыванием на базе государственных бюджетных общеобразовательных учреждений, содержание и обеспечение деятельности которых осуществляется за счет средств бюджета Санкт-Петербурга;</w:t>
      </w:r>
    </w:p>
    <w:p w:rsidR="003C1A21" w:rsidRPr="003C1A21" w:rsidRDefault="003C1A21" w:rsidP="003C1A2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услуг по изготовлению буклетов, в которых содержалась информация, не относящаяся к событиям, связанным с чрезвычайными ситуациями;</w:t>
      </w:r>
    </w:p>
    <w:p w:rsidR="003C1A21" w:rsidRPr="003C1A21" w:rsidRDefault="003C1A21" w:rsidP="003C1A2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за счет средств местного бюджета, утвержденных на обеспечение деятельности Местной Администрации, содержания иного юридического лица (Муниципального Совета);</w:t>
      </w:r>
    </w:p>
    <w:p w:rsidR="003C1A21" w:rsidRPr="003C1A21" w:rsidRDefault="003C1A21" w:rsidP="003C1A2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за счет средств субвенций на исполнение органами местного самоуправления в Санкт-Петербурге отдельного государственного полномочия Санкт-Петербурга по организации и осуществлению деятельности по опеке и попечительству этажерки для цветов, что не относится к расходам на обеспечение деятельности должностных лиц, к должностным обязанностям которых отнесено выполнение отдельных государственных полномочий;</w:t>
      </w:r>
    </w:p>
    <w:p w:rsidR="003C1A21" w:rsidRPr="003C1A21" w:rsidRDefault="003C1A21" w:rsidP="003C1A2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услуг, не предусмотренных мероприятиями ведомственных целевых программ;</w:t>
      </w:r>
    </w:p>
    <w:p w:rsidR="003C1A21" w:rsidRPr="003C1A21" w:rsidRDefault="003C1A21" w:rsidP="003C1A2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мероприятий, не соответствующих целям ведомственных целевых программ.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 </w:t>
      </w:r>
      <w:r w:rsidRPr="003C1A21">
        <w:rPr>
          <w:rFonts w:ascii="Manrope" w:eastAsia="Times New Roman" w:hAnsi="Manrope" w:cs="Times New Roman"/>
          <w:b/>
          <w:bCs/>
          <w:color w:val="000000"/>
          <w:sz w:val="20"/>
          <w:lang w:eastAsia="ru-RU"/>
        </w:rPr>
        <w:t>6.Неэффективное использование средств местного бюджета </w:t>
      </w: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(7 нарушений на общую сумму 479,6 тыс. рублей), а именно:</w:t>
      </w:r>
    </w:p>
    <w:p w:rsidR="003C1A21" w:rsidRPr="003C1A21" w:rsidRDefault="003C1A21" w:rsidP="003C1A2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осуществление Местной Администрацией закупок товаров, работ и услуг в случае, когда предметом таких закупок являются товары, работы и услуги, выполнение (оказание) которых непосредственно отнесено к функциям (задачам) органов местного самоуправления;</w:t>
      </w:r>
    </w:p>
    <w:p w:rsidR="003C1A21" w:rsidRPr="003C1A21" w:rsidRDefault="003C1A21" w:rsidP="003C1A2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приобретение Местной Администрацией товаров (услуг) по завышенным ценам;</w:t>
      </w:r>
    </w:p>
    <w:p w:rsidR="003C1A21" w:rsidRPr="003C1A21" w:rsidRDefault="003C1A21" w:rsidP="003C1A2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Местной Администрацией приняты и оплачены услуги по оформлению зала к мероприятиям и их транспортному обслуживанию, необходимость в оказании которых отсутствовала.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 </w:t>
      </w:r>
    </w:p>
    <w:p w:rsidR="003C1A21" w:rsidRPr="003C1A21" w:rsidRDefault="003C1A21" w:rsidP="003C1A21">
      <w:pPr>
        <w:spacing w:after="0" w:line="450" w:lineRule="atLeast"/>
        <w:jc w:val="both"/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</w:pPr>
      <w:r w:rsidRPr="003C1A21">
        <w:rPr>
          <w:rFonts w:ascii="Manrope" w:eastAsia="Times New Roman" w:hAnsi="Manrope" w:cs="Times New Roman"/>
          <w:color w:val="000000"/>
          <w:sz w:val="20"/>
          <w:szCs w:val="20"/>
          <w:lang w:eastAsia="ru-RU"/>
        </w:rPr>
        <w:t> </w:t>
      </w:r>
    </w:p>
    <w:p w:rsidR="00A64AC0" w:rsidRDefault="00A64AC0" w:rsidP="003C1A2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A21" w:rsidRDefault="003C1A21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A21" w:rsidRDefault="003C1A21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A21" w:rsidRDefault="003C1A21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A21" w:rsidRDefault="003C1A21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A21" w:rsidRDefault="003C1A21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A21" w:rsidRDefault="003C1A21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A21" w:rsidRDefault="003C1A21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A21" w:rsidRDefault="003C1A21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A21" w:rsidRDefault="003C1A21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AC0" w:rsidRDefault="00A64AC0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C69" w:rsidRDefault="002D7C69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C69" w:rsidRDefault="002D7C69" w:rsidP="00FA2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D7C69" w:rsidSect="003C1A21">
      <w:pgSz w:w="11906" w:h="16838"/>
      <w:pgMar w:top="426" w:right="849" w:bottom="1440" w:left="99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CA1"/>
    <w:multiLevelType w:val="multilevel"/>
    <w:tmpl w:val="F530F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435C4"/>
    <w:multiLevelType w:val="multilevel"/>
    <w:tmpl w:val="9ABA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97EF3"/>
    <w:multiLevelType w:val="multilevel"/>
    <w:tmpl w:val="174C3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31B8C"/>
    <w:multiLevelType w:val="multilevel"/>
    <w:tmpl w:val="1B3A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07C19"/>
    <w:multiLevelType w:val="multilevel"/>
    <w:tmpl w:val="50BE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72FCC"/>
    <w:multiLevelType w:val="multilevel"/>
    <w:tmpl w:val="AD74C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26F07"/>
    <w:multiLevelType w:val="multilevel"/>
    <w:tmpl w:val="7CBA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634C4"/>
    <w:multiLevelType w:val="multilevel"/>
    <w:tmpl w:val="EB30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046DF"/>
    <w:multiLevelType w:val="multilevel"/>
    <w:tmpl w:val="49129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44A01"/>
    <w:multiLevelType w:val="multilevel"/>
    <w:tmpl w:val="8C3A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34382"/>
    <w:multiLevelType w:val="multilevel"/>
    <w:tmpl w:val="1A5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165"/>
    <w:rsid w:val="00012B6E"/>
    <w:rsid w:val="0005020D"/>
    <w:rsid w:val="000A4E57"/>
    <w:rsid w:val="000C0115"/>
    <w:rsid w:val="000D2F46"/>
    <w:rsid w:val="00175D23"/>
    <w:rsid w:val="0018643C"/>
    <w:rsid w:val="001F6AB6"/>
    <w:rsid w:val="002D7C69"/>
    <w:rsid w:val="003920AA"/>
    <w:rsid w:val="003C1A21"/>
    <w:rsid w:val="004D05C9"/>
    <w:rsid w:val="0054148E"/>
    <w:rsid w:val="00595737"/>
    <w:rsid w:val="005B183A"/>
    <w:rsid w:val="007C76E6"/>
    <w:rsid w:val="008050C3"/>
    <w:rsid w:val="0082331B"/>
    <w:rsid w:val="008B37AA"/>
    <w:rsid w:val="009B3371"/>
    <w:rsid w:val="009B79A8"/>
    <w:rsid w:val="00A003ED"/>
    <w:rsid w:val="00A64AC0"/>
    <w:rsid w:val="00A96F0F"/>
    <w:rsid w:val="00AF65C9"/>
    <w:rsid w:val="00BB49A8"/>
    <w:rsid w:val="00BD22F8"/>
    <w:rsid w:val="00DD529B"/>
    <w:rsid w:val="00E438D4"/>
    <w:rsid w:val="00E450F4"/>
    <w:rsid w:val="00E930EB"/>
    <w:rsid w:val="00FA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A8"/>
  </w:style>
  <w:style w:type="paragraph" w:styleId="1">
    <w:name w:val="heading 1"/>
    <w:basedOn w:val="a"/>
    <w:link w:val="10"/>
    <w:uiPriority w:val="9"/>
    <w:qFormat/>
    <w:rsid w:val="003C1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C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1A21"/>
    <w:rPr>
      <w:b/>
      <w:bCs/>
    </w:rPr>
  </w:style>
  <w:style w:type="character" w:styleId="a7">
    <w:name w:val="Emphasis"/>
    <w:basedOn w:val="a0"/>
    <w:uiPriority w:val="20"/>
    <w:qFormat/>
    <w:rsid w:val="003C1A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635">
          <w:marLeft w:val="0"/>
          <w:marRight w:val="0"/>
          <w:marTop w:val="81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993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№ 65</dc:creator>
  <cp:keywords/>
  <dc:description/>
  <cp:lastModifiedBy>МА МО № 65</cp:lastModifiedBy>
  <cp:revision>18</cp:revision>
  <cp:lastPrinted>2022-03-21T09:56:00Z</cp:lastPrinted>
  <dcterms:created xsi:type="dcterms:W3CDTF">2021-08-03T11:26:00Z</dcterms:created>
  <dcterms:modified xsi:type="dcterms:W3CDTF">2022-03-21T11:33:00Z</dcterms:modified>
</cp:coreProperties>
</file>